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A" w:rsidRDefault="00354ACA" w:rsidP="00354ACA">
      <w:pPr>
        <w:pStyle w:val="10"/>
        <w:keepNext/>
        <w:keepLines/>
        <w:shd w:val="clear" w:color="auto" w:fill="auto"/>
      </w:pPr>
      <w:bookmarkStart w:id="0" w:name="bookmark0"/>
      <w:proofErr w:type="spellStart"/>
      <w:r>
        <w:rPr>
          <w:color w:val="000000"/>
        </w:rPr>
        <w:t>Αντιμικροβιακό</w:t>
      </w:r>
      <w:proofErr w:type="spellEnd"/>
      <w:r>
        <w:rPr>
          <w:color w:val="000000"/>
        </w:rPr>
        <w:t xml:space="preserve"> Τεμνόμενο Χειρουργικό </w:t>
      </w:r>
      <w:proofErr w:type="spellStart"/>
      <w:r>
        <w:rPr>
          <w:color w:val="000000"/>
        </w:rPr>
        <w:t>Οθόνιο</w:t>
      </w:r>
      <w:bookmarkEnd w:id="0"/>
      <w:proofErr w:type="spellEnd"/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φέρουν </w:t>
      </w:r>
      <w:proofErr w:type="spellStart"/>
      <w:r>
        <w:rPr>
          <w:color w:val="000000"/>
        </w:rPr>
        <w:t>αντιμικροβιακή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ιωδοφόρα</w:t>
      </w:r>
      <w:proofErr w:type="spellEnd"/>
      <w:r>
        <w:rPr>
          <w:color w:val="000000"/>
        </w:rPr>
        <w:t xml:space="preserve"> ουσία </w:t>
      </w:r>
      <w:proofErr w:type="spellStart"/>
      <w:r>
        <w:rPr>
          <w:color w:val="000000"/>
        </w:rPr>
        <w:t>συμπλοκο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 w:bidi="en-US"/>
        </w:rPr>
        <w:t>PVP</w:t>
      </w:r>
      <w:r w:rsidRPr="00354ACA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I</w:t>
      </w:r>
      <w:r w:rsidRPr="00354ACA">
        <w:rPr>
          <w:color w:val="000000"/>
          <w:lang w:bidi="en-US"/>
        </w:rPr>
        <w:t xml:space="preserve">, </w:t>
      </w:r>
      <w:r>
        <w:rPr>
          <w:color w:val="000000"/>
        </w:rPr>
        <w:t xml:space="preserve">αναμεμιγμένη με την </w:t>
      </w:r>
      <w:proofErr w:type="spellStart"/>
      <w:r>
        <w:rPr>
          <w:color w:val="000000"/>
        </w:rPr>
        <w:t>υποαλλεργική</w:t>
      </w:r>
      <w:proofErr w:type="spellEnd"/>
      <w:r>
        <w:rPr>
          <w:color w:val="000000"/>
        </w:rPr>
        <w:t xml:space="preserve"> ακρυλική κόλλα για μέγιστη πρόσφυση και απελευθέρωση ιωδίου στο δέρμα.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είναι κλάσης </w:t>
      </w:r>
      <w:r>
        <w:rPr>
          <w:color w:val="000000"/>
          <w:lang w:val="en-US" w:bidi="en-US"/>
        </w:rPr>
        <w:t>III</w:t>
      </w:r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 xml:space="preserve">και να συνοδεύονται από </w:t>
      </w:r>
      <w:r>
        <w:rPr>
          <w:b/>
          <w:bCs/>
          <w:color w:val="000000"/>
        </w:rPr>
        <w:t xml:space="preserve">πιστοποιητικό σχεδιασμού </w:t>
      </w:r>
      <w:r>
        <w:rPr>
          <w:b/>
          <w:bCs/>
          <w:color w:val="000000"/>
          <w:lang w:val="en-US" w:bidi="en-US"/>
        </w:rPr>
        <w:t>CE</w:t>
      </w:r>
      <w:r w:rsidRPr="00354ACA">
        <w:rPr>
          <w:b/>
          <w:bCs/>
          <w:color w:val="000000"/>
          <w:lang w:bidi="en-US"/>
        </w:rPr>
        <w:t xml:space="preserve"> </w:t>
      </w:r>
      <w:r>
        <w:rPr>
          <w:color w:val="000000"/>
        </w:rPr>
        <w:t xml:space="preserve">που έχει εκδώσει για λογαριασμό της κατασκευάστριας ο κοινοποιημένος της οργανισμός σύμφωνα με τις απαιτήσεις του Ευρωπαϊκού κανονισμού 745/2017 Κανόνας 14 (Όλα </w:t>
      </w:r>
      <w:r>
        <w:rPr>
          <w:i/>
          <w:iCs/>
          <w:color w:val="000000"/>
        </w:rPr>
        <w:t xml:space="preserve">τα τεχνολογικά προϊόντα στα οποία </w:t>
      </w:r>
      <w:r>
        <w:rPr>
          <w:color w:val="000000"/>
        </w:rPr>
        <w:t xml:space="preserve">ενσωματώνεται ως αναπόσπαστο </w:t>
      </w:r>
      <w:r>
        <w:rPr>
          <w:i/>
          <w:iCs/>
          <w:color w:val="000000"/>
        </w:rPr>
        <w:t>μέρος τους ουσία η οποία, αν χρησιμοποιηθεί ξεχωριστά, μπορεί να θεωρηθεί φάρμακο σύμφωνα με τον ορισμό του άρθρου 1 σημείο 2) της οδηγίας 2001 /83/ΕΚ)</w:t>
      </w:r>
    </w:p>
    <w:p w:rsidR="00354ACA" w:rsidRDefault="00354ACA" w:rsidP="00354ACA">
      <w:pPr>
        <w:pStyle w:val="11"/>
        <w:shd w:val="clear" w:color="auto" w:fill="auto"/>
      </w:pPr>
      <w:r>
        <w:rPr>
          <w:b/>
          <w:bCs/>
          <w:color w:val="000000"/>
        </w:rPr>
        <w:t xml:space="preserve">Το υλικό κατασκευής </w:t>
      </w:r>
      <w:r>
        <w:rPr>
          <w:color w:val="000000"/>
        </w:rPr>
        <w:t xml:space="preserve">να είναι από διάφανο πολυεστέρα, διαπερατό </w:t>
      </w:r>
      <w:proofErr w:type="spellStart"/>
      <w:r>
        <w:rPr>
          <w:color w:val="000000"/>
        </w:rPr>
        <w:t>στηναναπνοή</w:t>
      </w:r>
      <w:proofErr w:type="spellEnd"/>
      <w:r>
        <w:rPr>
          <w:color w:val="000000"/>
        </w:rPr>
        <w:t xml:space="preserve"> του δέρματος, μειώνοντας έτσι τον κίνδυνο συγκέντρωσης υγρασίας και ξεκολλήματος από τα χείλη της χειρουργικής τομής.</w:t>
      </w:r>
    </w:p>
    <w:p w:rsidR="00354ACA" w:rsidRPr="00354ACA" w:rsidRDefault="00354ACA" w:rsidP="00354ACA">
      <w:pPr>
        <w:pStyle w:val="11"/>
        <w:shd w:val="clear" w:color="auto" w:fill="auto"/>
        <w:rPr>
          <w:lang w:val="en-US"/>
        </w:rPr>
      </w:pPr>
      <w:proofErr w:type="spellStart"/>
      <w:r>
        <w:rPr>
          <w:color w:val="000000"/>
        </w:rPr>
        <w:t>Ρυθμόςμετάδοσηςατμώνυγρασίας</w:t>
      </w:r>
      <w:proofErr w:type="spellEnd"/>
      <w:r w:rsidRPr="00354ACA">
        <w:rPr>
          <w:color w:val="000000"/>
          <w:lang w:val="en-US"/>
        </w:rPr>
        <w:t xml:space="preserve"> - </w:t>
      </w:r>
      <w:r>
        <w:rPr>
          <w:color w:val="000000"/>
          <w:lang w:val="en-US" w:bidi="en-US"/>
        </w:rPr>
        <w:t xml:space="preserve">Moisture vapor transmission rate: MVTR &gt;400 </w:t>
      </w:r>
      <w:proofErr w:type="spellStart"/>
      <w:r>
        <w:rPr>
          <w:color w:val="000000"/>
          <w:lang w:val="en-US" w:bidi="en-US"/>
        </w:rPr>
        <w:t>gr</w:t>
      </w:r>
      <w:proofErr w:type="spellEnd"/>
      <w:r>
        <w:rPr>
          <w:color w:val="000000"/>
          <w:lang w:val="en-US" w:bidi="en-US"/>
        </w:rPr>
        <w:t>/m</w:t>
      </w:r>
      <w:r>
        <w:rPr>
          <w:color w:val="000000"/>
          <w:vertAlign w:val="superscript"/>
          <w:lang w:val="en-US" w:bidi="en-US"/>
        </w:rPr>
        <w:t>2</w:t>
      </w:r>
      <w:r>
        <w:rPr>
          <w:color w:val="000000"/>
          <w:lang w:val="en-US" w:bidi="en-US"/>
        </w:rPr>
        <w:t>/24h (test method ASTM E96-80).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είναι επιστρωμένο με </w:t>
      </w:r>
      <w:proofErr w:type="spellStart"/>
      <w:r>
        <w:rPr>
          <w:color w:val="000000"/>
        </w:rPr>
        <w:t>υποαλλεργική</w:t>
      </w:r>
      <w:proofErr w:type="spellEnd"/>
      <w:r>
        <w:rPr>
          <w:color w:val="000000"/>
        </w:rPr>
        <w:t xml:space="preserve"> ακρυλική κόλλα υψηλής πρόσφυσης σε ολόκληρη την τεμνόμενη επιφάνεια.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έχει αποδεδειγμένα άριστη </w:t>
      </w:r>
      <w:proofErr w:type="spellStart"/>
      <w:r>
        <w:rPr>
          <w:color w:val="000000"/>
        </w:rPr>
        <w:t>αντιμικροβιακή</w:t>
      </w:r>
      <w:proofErr w:type="spellEnd"/>
      <w:r>
        <w:rPr>
          <w:color w:val="000000"/>
        </w:rPr>
        <w:t xml:space="preserve"> δράση τόσο σε </w:t>
      </w:r>
      <w:r>
        <w:rPr>
          <w:color w:val="000000"/>
          <w:lang w:val="en-US" w:bidi="en-US"/>
        </w:rPr>
        <w:t>Gram</w:t>
      </w:r>
      <w:r w:rsidRPr="00354ACA">
        <w:rPr>
          <w:color w:val="000000"/>
          <w:lang w:bidi="en-US"/>
        </w:rPr>
        <w:t xml:space="preserve">+ </w:t>
      </w:r>
      <w:r>
        <w:rPr>
          <w:color w:val="000000"/>
        </w:rPr>
        <w:t xml:space="preserve">όσο και σε </w:t>
      </w:r>
      <w:r>
        <w:rPr>
          <w:color w:val="000000"/>
          <w:lang w:val="en-US" w:bidi="en-US"/>
        </w:rPr>
        <w:t>Gram</w:t>
      </w:r>
      <w:r w:rsidRPr="00354ACA">
        <w:rPr>
          <w:color w:val="000000"/>
          <w:lang w:bidi="en-US"/>
        </w:rPr>
        <w:t xml:space="preserve">- </w:t>
      </w:r>
      <w:r>
        <w:rPr>
          <w:color w:val="000000"/>
        </w:rPr>
        <w:t>(μικροοργανισμούς).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>Να φέρει πλαίσιο στα δύο άκρα ειδικά σχεδιασμένο, ώστε να υποβοηθά στην εύκολη εφαρμογή με γάντια και αποφυγή ζαρώματος του φιλμ.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μην περιέχει </w:t>
      </w:r>
      <w:r>
        <w:rPr>
          <w:color w:val="000000"/>
          <w:lang w:val="en-US" w:bidi="en-US"/>
        </w:rPr>
        <w:t>latex</w:t>
      </w:r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 xml:space="preserve">τόσο στο φιλμ όσο και στη κόλλα που να επιβεβαιώνετε με την κατάθεση τεχνικού φύλλου οδηγιών από το </w:t>
      </w:r>
      <w:proofErr w:type="spellStart"/>
      <w:r>
        <w:rPr>
          <w:color w:val="000000"/>
          <w:lang w:val="en-US" w:bidi="en-US"/>
        </w:rPr>
        <w:t>regulatorydept</w:t>
      </w:r>
      <w:proofErr w:type="spellEnd"/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>της κατασκευάστριας.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>Να έχουν χαμηλή μνήμη επαναφοράς στο τέντωμα.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έχουν αντιστατική - </w:t>
      </w:r>
      <w:proofErr w:type="spellStart"/>
      <w:r>
        <w:rPr>
          <w:color w:val="000000"/>
        </w:rPr>
        <w:t>αντιθαμβωτική</w:t>
      </w:r>
      <w:proofErr w:type="spellEnd"/>
      <w:r>
        <w:rPr>
          <w:color w:val="000000"/>
        </w:rPr>
        <w:t xml:space="preserve"> συμπεριφορά.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>Να είναι συσκευασμένα σε ατομική συσκευασία αλουμινίου για προστασία της φαρμακευτικής ουσίας από το φώς και την αυξομείωση της θερμοκρασίας.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lastRenderedPageBreak/>
        <w:t xml:space="preserve">Να φέρουν περισσότερες από 2 κλινικές μελέτες </w:t>
      </w:r>
      <w:r>
        <w:rPr>
          <w:color w:val="000000"/>
          <w:lang w:val="en-US" w:bidi="en-US"/>
        </w:rPr>
        <w:t>RCT</w:t>
      </w:r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 xml:space="preserve">με δείγμα ασθενών&gt;100, όσον αφορά τις </w:t>
      </w:r>
      <w:proofErr w:type="spellStart"/>
      <w:r>
        <w:rPr>
          <w:color w:val="000000"/>
        </w:rPr>
        <w:t>αντιμικροβιακές</w:t>
      </w:r>
      <w:proofErr w:type="spellEnd"/>
      <w:r>
        <w:rPr>
          <w:color w:val="000000"/>
        </w:rPr>
        <w:t xml:space="preserve"> τους ιδιότητες και την μείωση του ρυθμού μόλυνσης του χειρουργικού τραύματος.</w:t>
      </w:r>
    </w:p>
    <w:p w:rsidR="00354ACA" w:rsidRDefault="00354ACA" w:rsidP="00354ACA">
      <w:pPr>
        <w:pStyle w:val="11"/>
        <w:shd w:val="clear" w:color="auto" w:fill="auto"/>
      </w:pPr>
      <w:r>
        <w:rPr>
          <w:color w:val="000000"/>
        </w:rPr>
        <w:t xml:space="preserve">Να συμμορφώνετε πλήρως στις υποδείξεις του </w:t>
      </w:r>
      <w:r>
        <w:rPr>
          <w:color w:val="000000"/>
          <w:lang w:val="en-US" w:bidi="en-US"/>
        </w:rPr>
        <w:t>ISO</w:t>
      </w:r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 xml:space="preserve">10993 </w:t>
      </w:r>
      <w:r>
        <w:rPr>
          <w:color w:val="000000"/>
          <w:lang w:val="en-US" w:bidi="en-US"/>
        </w:rPr>
        <w:t>part</w:t>
      </w:r>
      <w:r w:rsidRPr="00354ACA">
        <w:rPr>
          <w:color w:val="000000"/>
          <w:lang w:bidi="en-US"/>
        </w:rPr>
        <w:t xml:space="preserve"> </w:t>
      </w:r>
      <w:r>
        <w:rPr>
          <w:color w:val="000000"/>
        </w:rPr>
        <w:t xml:space="preserve">1, όσο αφορά την </w:t>
      </w:r>
      <w:proofErr w:type="spellStart"/>
      <w:r>
        <w:rPr>
          <w:color w:val="000000"/>
        </w:rPr>
        <w:t>βιοσυμβατότητα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κυτταροτοξικότητα</w:t>
      </w:r>
      <w:proofErr w:type="spellEnd"/>
      <w:r>
        <w:rPr>
          <w:color w:val="000000"/>
        </w:rPr>
        <w:t xml:space="preserve"> και τον ερεθισμό με την προσκόμιση δηλώσεως συμμόρφωσής από το </w:t>
      </w:r>
      <w:proofErr w:type="spellStart"/>
      <w:r>
        <w:rPr>
          <w:color w:val="000000"/>
          <w:lang w:val="en-US" w:bidi="en-US"/>
        </w:rPr>
        <w:t>regulatorydept</w:t>
      </w:r>
      <w:proofErr w:type="spellEnd"/>
      <w:r w:rsidRPr="00354ACA">
        <w:rPr>
          <w:color w:val="000000"/>
          <w:lang w:bidi="en-US"/>
        </w:rPr>
        <w:t xml:space="preserve">^ </w:t>
      </w:r>
      <w:r>
        <w:rPr>
          <w:color w:val="000000"/>
        </w:rPr>
        <w:t>κατασκευάστριας</w:t>
      </w:r>
    </w:p>
    <w:p w:rsidR="00F93381" w:rsidRDefault="00F93381"/>
    <w:sectPr w:rsidR="00F93381" w:rsidSect="00F933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ACA"/>
    <w:rsid w:val="00354ACA"/>
    <w:rsid w:val="00F9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_"/>
    <w:basedOn w:val="a0"/>
    <w:link w:val="10"/>
    <w:locked/>
    <w:rsid w:val="00354ACA"/>
    <w:rPr>
      <w:rFonts w:ascii="Century Gothic" w:eastAsia="Century Gothic" w:hAnsi="Century Gothic" w:cs="Century Gothic"/>
      <w:b/>
      <w:bCs/>
      <w:sz w:val="36"/>
      <w:szCs w:val="36"/>
      <w:shd w:val="clear" w:color="auto" w:fill="FFFFFF"/>
    </w:rPr>
  </w:style>
  <w:style w:type="paragraph" w:customStyle="1" w:styleId="10">
    <w:name w:val="Επικεφαλίδα #1"/>
    <w:basedOn w:val="a"/>
    <w:link w:val="1"/>
    <w:rsid w:val="00354ACA"/>
    <w:pPr>
      <w:widowControl w:val="0"/>
      <w:shd w:val="clear" w:color="auto" w:fill="FFFFFF"/>
      <w:spacing w:after="500" w:line="240" w:lineRule="auto"/>
      <w:ind w:left="360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customStyle="1" w:styleId="a3">
    <w:name w:val="Σώμα κειμένου_"/>
    <w:basedOn w:val="a0"/>
    <w:link w:val="11"/>
    <w:locked/>
    <w:rsid w:val="00354ACA"/>
    <w:rPr>
      <w:rFonts w:ascii="Century Gothic" w:eastAsia="Century Gothic" w:hAnsi="Century Gothic" w:cs="Century Gothic"/>
      <w:shd w:val="clear" w:color="auto" w:fill="FFFFFF"/>
    </w:rPr>
  </w:style>
  <w:style w:type="paragraph" w:customStyle="1" w:styleId="11">
    <w:name w:val="Σώμα κειμένου1"/>
    <w:basedOn w:val="a"/>
    <w:link w:val="a3"/>
    <w:rsid w:val="00354ACA"/>
    <w:pPr>
      <w:widowControl w:val="0"/>
      <w:shd w:val="clear" w:color="auto" w:fill="FFFFFF"/>
      <w:spacing w:after="500" w:line="240" w:lineRule="auto"/>
      <w:jc w:val="both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k.theofili</dc:creator>
  <cp:lastModifiedBy>k.theofili</cp:lastModifiedBy>
  <cp:revision>1</cp:revision>
  <dcterms:created xsi:type="dcterms:W3CDTF">2023-07-06T05:41:00Z</dcterms:created>
  <dcterms:modified xsi:type="dcterms:W3CDTF">2023-07-06T05:42:00Z</dcterms:modified>
</cp:coreProperties>
</file>